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9"/>
        <w:rPr>
          <w:rFonts w:hint="default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>附件：</w:t>
      </w:r>
    </w:p>
    <w:p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br w:type="textWrapping"/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报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价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函</w:t>
      </w:r>
    </w:p>
    <w:p>
      <w:pPr>
        <w:snapToGrid w:val="0"/>
        <w:spacing w:line="360" w:lineRule="auto"/>
        <w:jc w:val="center"/>
        <w:rPr>
          <w:rFonts w:hint="eastAsia" w:ascii="宋体" w:hAnsi="宋体"/>
          <w:color w:val="auto"/>
        </w:rPr>
      </w:pPr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宿州市科技馆“国之重器”科普展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  <w:t>服务范围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询价公告的全部内容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  <w:t>人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服务费用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6456" w:type="dxa"/>
            <w:noWrap w:val="0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  <w:t>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</w:rPr>
              <w:t>问题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43" w:firstLineChars="2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>
      <w:pPr>
        <w:spacing w:line="360" w:lineRule="auto"/>
        <w:ind w:firstLine="2570" w:firstLineChars="8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ZjdlYzExNDJlNDUyNjg4NmY0Yzg1ZTUyNDg3M2UifQ=="/>
  </w:docVars>
  <w:rsids>
    <w:rsidRoot w:val="197A0C15"/>
    <w:rsid w:val="120648BC"/>
    <w:rsid w:val="197A0C15"/>
    <w:rsid w:val="24795837"/>
    <w:rsid w:val="252F1221"/>
    <w:rsid w:val="30F24D6F"/>
    <w:rsid w:val="4D026B86"/>
    <w:rsid w:val="60E01F92"/>
    <w:rsid w:val="74D1268B"/>
    <w:rsid w:val="757A1C0A"/>
    <w:rsid w:val="78A6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微软雅黑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99"/>
    <w:pPr>
      <w:spacing w:after="120" w:afterLines="0"/>
      <w:ind w:left="420" w:leftChars="200"/>
    </w:pPr>
  </w:style>
  <w:style w:type="paragraph" w:styleId="3">
    <w:name w:val="envelope return"/>
    <w:basedOn w:val="1"/>
    <w:autoRedefine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4">
    <w:name w:val="Body Text First Indent 2"/>
    <w:basedOn w:val="2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2023-08-21T14:26:00Z</dcterms:created>
  <dc:creator>，</dc:creator>
  <cp:lastModifiedBy>时-艺海文化艺术培训15895256022</cp:lastModifiedBy>
  <dcterms:modified xsi:type="dcterms:W3CDTF">2024-03-08T08:24:17Z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0C924D02F4CA49048696F332E01C174B_11</vt:lpwstr>
  </property>
</Properties>
</file>